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86" w:rsidRDefault="00E63D86" w:rsidP="00941D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7DE5" w:rsidRDefault="00E63D86" w:rsidP="00E63D8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</w:t>
      </w:r>
    </w:p>
    <w:p w:rsidR="00E63D86" w:rsidRDefault="00E63D86" w:rsidP="00E63D8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8A35BE">
        <w:rPr>
          <w:rFonts w:ascii="Times New Roman" w:hAnsi="Times New Roman" w:cs="Times New Roman"/>
          <w:sz w:val="28"/>
          <w:szCs w:val="28"/>
        </w:rPr>
        <w:t xml:space="preserve"> в 1 квартале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2A8" w:rsidRDefault="004C42A8" w:rsidP="004C4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2A8">
        <w:rPr>
          <w:rFonts w:ascii="Times New Roman" w:hAnsi="Times New Roman" w:cs="Times New Roman"/>
          <w:sz w:val="28"/>
          <w:szCs w:val="28"/>
        </w:rPr>
        <w:t xml:space="preserve">Малые и средние предприятия – это весомая часть экономического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84E0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4E05">
        <w:rPr>
          <w:rFonts w:ascii="Times New Roman" w:hAnsi="Times New Roman" w:cs="Times New Roman"/>
          <w:sz w:val="28"/>
          <w:szCs w:val="28"/>
        </w:rPr>
        <w:t xml:space="preserve"> </w:t>
      </w:r>
      <w:r w:rsidR="00784E05" w:rsidRPr="00784E05">
        <w:rPr>
          <w:rFonts w:ascii="Times New Roman" w:hAnsi="Times New Roman" w:cs="Times New Roman"/>
          <w:sz w:val="28"/>
          <w:szCs w:val="28"/>
        </w:rPr>
        <w:t>Важным показателем, определяющим вклад малого предпринимательства в экономику</w:t>
      </w:r>
      <w:r w:rsidR="00AC0A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4E05" w:rsidRPr="00784E05">
        <w:rPr>
          <w:rFonts w:ascii="Times New Roman" w:hAnsi="Times New Roman" w:cs="Times New Roman"/>
          <w:sz w:val="28"/>
          <w:szCs w:val="28"/>
        </w:rPr>
        <w:t xml:space="preserve">, является численность </w:t>
      </w:r>
      <w:r w:rsidR="00AC0A53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="00784E05" w:rsidRPr="00784E05">
        <w:rPr>
          <w:rFonts w:ascii="Times New Roman" w:hAnsi="Times New Roman" w:cs="Times New Roman"/>
          <w:sz w:val="28"/>
          <w:szCs w:val="28"/>
        </w:rPr>
        <w:t>и ее доля от общего количества занятых в</w:t>
      </w:r>
      <w:r w:rsidR="00AC0A53">
        <w:rPr>
          <w:rFonts w:ascii="Times New Roman" w:hAnsi="Times New Roman" w:cs="Times New Roman"/>
          <w:sz w:val="28"/>
          <w:szCs w:val="28"/>
        </w:rPr>
        <w:t>о всех секторах экономики</w:t>
      </w:r>
      <w:r w:rsidR="00784E05" w:rsidRPr="00784E05">
        <w:rPr>
          <w:rFonts w:ascii="Times New Roman" w:hAnsi="Times New Roman" w:cs="Times New Roman"/>
          <w:sz w:val="28"/>
          <w:szCs w:val="28"/>
        </w:rPr>
        <w:t xml:space="preserve">. </w:t>
      </w:r>
      <w:r w:rsidR="00E77DE5">
        <w:rPr>
          <w:rFonts w:ascii="Times New Roman" w:hAnsi="Times New Roman" w:cs="Times New Roman"/>
          <w:sz w:val="28"/>
          <w:szCs w:val="28"/>
        </w:rPr>
        <w:t>Н</w:t>
      </w:r>
      <w:r w:rsidR="00001C19">
        <w:rPr>
          <w:rFonts w:ascii="Times New Roman" w:hAnsi="Times New Roman" w:cs="Times New Roman"/>
          <w:sz w:val="28"/>
          <w:szCs w:val="28"/>
        </w:rPr>
        <w:t xml:space="preserve">а  малых и средних предприятиях </w:t>
      </w:r>
      <w:r w:rsidR="00784E05" w:rsidRPr="00784E05">
        <w:rPr>
          <w:rFonts w:ascii="Times New Roman" w:hAnsi="Times New Roman" w:cs="Times New Roman"/>
          <w:sz w:val="28"/>
          <w:szCs w:val="28"/>
        </w:rPr>
        <w:t xml:space="preserve">в </w:t>
      </w:r>
      <w:r w:rsidR="00784E05">
        <w:rPr>
          <w:rFonts w:ascii="Times New Roman" w:hAnsi="Times New Roman" w:cs="Times New Roman"/>
          <w:sz w:val="28"/>
          <w:szCs w:val="28"/>
        </w:rPr>
        <w:t xml:space="preserve">1 квартале  </w:t>
      </w:r>
      <w:r w:rsidR="00784E05" w:rsidRPr="00784E05">
        <w:rPr>
          <w:rFonts w:ascii="Times New Roman" w:hAnsi="Times New Roman" w:cs="Times New Roman"/>
          <w:sz w:val="28"/>
          <w:szCs w:val="28"/>
        </w:rPr>
        <w:t>201</w:t>
      </w:r>
      <w:r w:rsidR="00784E05">
        <w:rPr>
          <w:rFonts w:ascii="Times New Roman" w:hAnsi="Times New Roman" w:cs="Times New Roman"/>
          <w:sz w:val="28"/>
          <w:szCs w:val="28"/>
        </w:rPr>
        <w:t>7</w:t>
      </w:r>
      <w:r w:rsidR="00784E05" w:rsidRPr="00784E05">
        <w:rPr>
          <w:rFonts w:ascii="Times New Roman" w:hAnsi="Times New Roman" w:cs="Times New Roman"/>
          <w:sz w:val="28"/>
          <w:szCs w:val="28"/>
        </w:rPr>
        <w:t xml:space="preserve"> год</w:t>
      </w:r>
      <w:r w:rsidR="00784E05">
        <w:rPr>
          <w:rFonts w:ascii="Times New Roman" w:hAnsi="Times New Roman" w:cs="Times New Roman"/>
          <w:sz w:val="28"/>
          <w:szCs w:val="28"/>
        </w:rPr>
        <w:t>а</w:t>
      </w:r>
      <w:r w:rsidR="00E77DE5">
        <w:rPr>
          <w:rFonts w:ascii="Times New Roman" w:hAnsi="Times New Roman" w:cs="Times New Roman"/>
          <w:sz w:val="28"/>
          <w:szCs w:val="28"/>
        </w:rPr>
        <w:t xml:space="preserve">  занято</w:t>
      </w:r>
      <w:r w:rsidR="00784E05" w:rsidRPr="00784E05">
        <w:rPr>
          <w:rFonts w:ascii="Times New Roman" w:hAnsi="Times New Roman" w:cs="Times New Roman"/>
          <w:sz w:val="28"/>
          <w:szCs w:val="28"/>
        </w:rPr>
        <w:t xml:space="preserve"> </w:t>
      </w:r>
      <w:r w:rsidR="00001C19">
        <w:rPr>
          <w:rFonts w:ascii="Times New Roman" w:hAnsi="Times New Roman" w:cs="Times New Roman"/>
          <w:sz w:val="28"/>
          <w:szCs w:val="28"/>
        </w:rPr>
        <w:t xml:space="preserve"> 9146</w:t>
      </w:r>
      <w:r w:rsidR="00784E05" w:rsidRPr="00784E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01C19">
        <w:rPr>
          <w:rFonts w:ascii="Times New Roman" w:hAnsi="Times New Roman" w:cs="Times New Roman"/>
          <w:sz w:val="28"/>
          <w:szCs w:val="28"/>
        </w:rPr>
        <w:t xml:space="preserve"> и 1400 индивидуальных предпринимателей</w:t>
      </w:r>
      <w:r w:rsidR="00784E05" w:rsidRPr="00784E05">
        <w:rPr>
          <w:rFonts w:ascii="Times New Roman" w:hAnsi="Times New Roman" w:cs="Times New Roman"/>
          <w:sz w:val="28"/>
          <w:szCs w:val="28"/>
        </w:rPr>
        <w:t xml:space="preserve">. Данный показатель составляет  </w:t>
      </w:r>
      <w:r w:rsidR="00784E05">
        <w:rPr>
          <w:rFonts w:ascii="Times New Roman" w:hAnsi="Times New Roman" w:cs="Times New Roman"/>
          <w:sz w:val="28"/>
          <w:szCs w:val="28"/>
        </w:rPr>
        <w:t>4</w:t>
      </w:r>
      <w:r w:rsidR="00E77DE5">
        <w:rPr>
          <w:rFonts w:ascii="Times New Roman" w:hAnsi="Times New Roman" w:cs="Times New Roman"/>
          <w:sz w:val="28"/>
          <w:szCs w:val="28"/>
        </w:rPr>
        <w:t>5</w:t>
      </w:r>
      <w:r w:rsidR="00784E05">
        <w:rPr>
          <w:rFonts w:ascii="Times New Roman" w:hAnsi="Times New Roman" w:cs="Times New Roman"/>
          <w:sz w:val="28"/>
          <w:szCs w:val="28"/>
        </w:rPr>
        <w:t xml:space="preserve"> </w:t>
      </w:r>
      <w:r w:rsidR="00784E05" w:rsidRPr="00784E05">
        <w:rPr>
          <w:rFonts w:ascii="Times New Roman" w:hAnsi="Times New Roman" w:cs="Times New Roman"/>
          <w:sz w:val="28"/>
          <w:szCs w:val="28"/>
        </w:rPr>
        <w:t>% от</w:t>
      </w:r>
      <w:r w:rsidR="00E77DE5" w:rsidRPr="00E77DE5">
        <w:rPr>
          <w:rFonts w:ascii="Times New Roman" w:hAnsi="Times New Roman" w:cs="Times New Roman"/>
          <w:sz w:val="28"/>
          <w:szCs w:val="28"/>
        </w:rPr>
        <w:t xml:space="preserve"> </w:t>
      </w:r>
      <w:r w:rsidR="00E77DE5" w:rsidRPr="00784E05">
        <w:rPr>
          <w:rFonts w:ascii="Times New Roman" w:hAnsi="Times New Roman" w:cs="Times New Roman"/>
          <w:sz w:val="28"/>
          <w:szCs w:val="28"/>
        </w:rPr>
        <w:t>общего количества занятых в экономике</w:t>
      </w:r>
      <w:r w:rsidR="00E77D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4E05" w:rsidRPr="00784E05">
        <w:rPr>
          <w:rFonts w:ascii="Times New Roman" w:hAnsi="Times New Roman" w:cs="Times New Roman"/>
          <w:sz w:val="28"/>
          <w:szCs w:val="28"/>
        </w:rPr>
        <w:t xml:space="preserve">, что свидетельствует о высоком уровне вовлечения трудовых ресурсов в сектор малого предпринимательства. </w:t>
      </w:r>
    </w:p>
    <w:p w:rsidR="00941D73" w:rsidRDefault="00941D73" w:rsidP="004C4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E05">
        <w:rPr>
          <w:rFonts w:ascii="Times New Roman" w:hAnsi="Times New Roman" w:cs="Times New Roman"/>
          <w:sz w:val="28"/>
          <w:szCs w:val="28"/>
        </w:rPr>
        <w:t xml:space="preserve">Наиболее привлекательной для малого предпринимательства остается сфера торговли. </w:t>
      </w:r>
      <w:proofErr w:type="gramStart"/>
      <w:r w:rsidRPr="00784E05">
        <w:rPr>
          <w:rFonts w:ascii="Times New Roman" w:hAnsi="Times New Roman" w:cs="Times New Roman"/>
          <w:sz w:val="28"/>
          <w:szCs w:val="28"/>
        </w:rPr>
        <w:t xml:space="preserve">На долю этого сектора экономики приходится </w:t>
      </w:r>
      <w:r>
        <w:rPr>
          <w:rFonts w:ascii="Times New Roman" w:hAnsi="Times New Roman" w:cs="Times New Roman"/>
          <w:sz w:val="28"/>
          <w:szCs w:val="28"/>
        </w:rPr>
        <w:t xml:space="preserve">свыше 40% </w:t>
      </w:r>
      <w:r w:rsidRPr="00784E05">
        <w:rPr>
          <w:rFonts w:ascii="Times New Roman" w:hAnsi="Times New Roman" w:cs="Times New Roman"/>
          <w:sz w:val="28"/>
          <w:szCs w:val="28"/>
        </w:rPr>
        <w:t xml:space="preserve">субъектов малого предпринимательства, что объясняется более быстрым оборотом денежных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по 14 % в строительстве и в обрабатывающих производствах </w:t>
      </w:r>
      <w:r w:rsidR="00E77D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DE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объясняется близостью </w:t>
      </w:r>
      <w:r w:rsidR="00E77D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амского автомобилестроительного кластера,</w:t>
      </w:r>
      <w:r w:rsidRPr="00732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13 % малых предприятий занято в оказании услуг в </w:t>
      </w:r>
      <w:r w:rsidRPr="00784E05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84E05">
        <w:rPr>
          <w:rFonts w:ascii="Times New Roman" w:hAnsi="Times New Roman" w:cs="Times New Roman"/>
          <w:sz w:val="28"/>
          <w:szCs w:val="28"/>
        </w:rPr>
        <w:t xml:space="preserve"> с недвижимым имуществом, аренд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E05">
        <w:rPr>
          <w:rFonts w:ascii="Times New Roman" w:hAnsi="Times New Roman" w:cs="Times New Roman"/>
          <w:sz w:val="28"/>
          <w:szCs w:val="28"/>
        </w:rPr>
        <w:t xml:space="preserve"> и предоставление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84E05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- занято в</w:t>
      </w:r>
      <w:r w:rsidRPr="00784E0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4E05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E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4E05" w:rsidRDefault="00784E05" w:rsidP="00E77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E05"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784E05">
        <w:rPr>
          <w:rFonts w:ascii="Times New Roman" w:hAnsi="Times New Roman" w:cs="Times New Roman"/>
          <w:sz w:val="28"/>
          <w:szCs w:val="28"/>
        </w:rPr>
        <w:t xml:space="preserve">малого предпринимательства отражены в  </w:t>
      </w:r>
      <w:r>
        <w:rPr>
          <w:rFonts w:ascii="Times New Roman" w:hAnsi="Times New Roman" w:cs="Times New Roman"/>
          <w:sz w:val="28"/>
          <w:szCs w:val="28"/>
        </w:rPr>
        <w:t>диаграммах.</w:t>
      </w:r>
    </w:p>
    <w:p w:rsidR="00784E05" w:rsidRDefault="00784E05" w:rsidP="00E77DE5">
      <w:pPr>
        <w:jc w:val="both"/>
        <w:rPr>
          <w:rFonts w:ascii="Times New Roman" w:hAnsi="Times New Roman" w:cs="Times New Roman"/>
          <w:sz w:val="28"/>
          <w:szCs w:val="28"/>
        </w:rPr>
      </w:pPr>
      <w:r w:rsidRPr="00784E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27241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1D73" w:rsidRPr="00941D73" w:rsidRDefault="00AC0A53" w:rsidP="00E77D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Республике Татарстан н</w:t>
      </w:r>
      <w:r w:rsidR="00001C19" w:rsidRPr="00001C19">
        <w:rPr>
          <w:rFonts w:ascii="Times New Roman" w:hAnsi="Times New Roman" w:cs="Times New Roman"/>
          <w:sz w:val="28"/>
          <w:szCs w:val="28"/>
        </w:rPr>
        <w:t>а 10 тысяч населения приходится в среднем 232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предпринимател</w:t>
      </w:r>
      <w:proofErr w:type="spellEnd"/>
      <w:r w:rsidR="00001C19" w:rsidRPr="00001C19">
        <w:rPr>
          <w:rFonts w:ascii="Times New Roman" w:hAnsi="Times New Roman" w:cs="Times New Roman"/>
          <w:sz w:val="28"/>
          <w:szCs w:val="28"/>
        </w:rPr>
        <w:t xml:space="preserve">. Наибольшее число индивидуальных предпринимателей в расчете на 10 000 человек населения –  </w:t>
      </w:r>
      <w:r w:rsidR="00001C19">
        <w:rPr>
          <w:rFonts w:ascii="Times New Roman" w:hAnsi="Times New Roman" w:cs="Times New Roman"/>
          <w:sz w:val="28"/>
          <w:szCs w:val="28"/>
        </w:rPr>
        <w:t xml:space="preserve">зарегистрировано в нашем </w:t>
      </w:r>
      <w:proofErr w:type="spellStart"/>
      <w:r w:rsidR="00001C19" w:rsidRPr="00001C19">
        <w:rPr>
          <w:rFonts w:ascii="Times New Roman" w:hAnsi="Times New Roman" w:cs="Times New Roman"/>
          <w:sz w:val="28"/>
          <w:szCs w:val="28"/>
        </w:rPr>
        <w:t>Тукаевском</w:t>
      </w:r>
      <w:proofErr w:type="spellEnd"/>
      <w:r w:rsidR="00001C19" w:rsidRPr="00001C19">
        <w:rPr>
          <w:rFonts w:ascii="Times New Roman" w:hAnsi="Times New Roman" w:cs="Times New Roman"/>
          <w:sz w:val="28"/>
          <w:szCs w:val="28"/>
        </w:rPr>
        <w:t xml:space="preserve"> районе (344 предпринимателя) и </w:t>
      </w:r>
      <w:proofErr w:type="gramStart"/>
      <w:r w:rsidR="00001C19" w:rsidRPr="00001C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01C19" w:rsidRPr="00001C19">
        <w:rPr>
          <w:rFonts w:ascii="Times New Roman" w:hAnsi="Times New Roman" w:cs="Times New Roman"/>
          <w:sz w:val="28"/>
          <w:szCs w:val="28"/>
        </w:rPr>
        <w:t xml:space="preserve">. Набережные Челны (297 предпринимателей), наименьшее значение в </w:t>
      </w:r>
      <w:proofErr w:type="spellStart"/>
      <w:r w:rsidR="00001C19" w:rsidRPr="00001C19">
        <w:rPr>
          <w:rFonts w:ascii="Times New Roman" w:hAnsi="Times New Roman" w:cs="Times New Roman"/>
          <w:sz w:val="28"/>
          <w:szCs w:val="28"/>
        </w:rPr>
        <w:t>Кайбицком</w:t>
      </w:r>
      <w:proofErr w:type="spellEnd"/>
      <w:r w:rsidR="00001C19" w:rsidRPr="00001C19">
        <w:rPr>
          <w:rFonts w:ascii="Times New Roman" w:hAnsi="Times New Roman" w:cs="Times New Roman"/>
          <w:sz w:val="28"/>
          <w:szCs w:val="28"/>
        </w:rPr>
        <w:t xml:space="preserve"> районе (118 предпринимателей)</w:t>
      </w:r>
      <w:r w:rsidR="00001C19">
        <w:rPr>
          <w:rFonts w:ascii="Times New Roman" w:hAnsi="Times New Roman" w:cs="Times New Roman"/>
          <w:sz w:val="28"/>
          <w:szCs w:val="28"/>
        </w:rPr>
        <w:t xml:space="preserve">. </w:t>
      </w:r>
      <w:r w:rsidR="00313151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941D73" w:rsidRPr="00941D73">
        <w:rPr>
          <w:rFonts w:ascii="Times New Roman" w:hAnsi="Times New Roman" w:cs="Times New Roman"/>
          <w:sz w:val="28"/>
          <w:szCs w:val="28"/>
        </w:rPr>
        <w:t>малого предпринимательства в сфере сельского хозяйства, укреплению материально-технической базы действующих в данной сфере предпринимателей способствует реализация мероприятий «Поддержка начинающих фермеров» и «Развитие семейных животноводческих ферм на базе крестьянских (фермерских) хозяйств»</w:t>
      </w:r>
      <w:r w:rsidR="00941D73">
        <w:rPr>
          <w:rFonts w:ascii="Times New Roman" w:hAnsi="Times New Roman" w:cs="Times New Roman"/>
          <w:sz w:val="28"/>
          <w:szCs w:val="28"/>
        </w:rPr>
        <w:t>.</w:t>
      </w:r>
      <w:r w:rsidR="00941D73" w:rsidRPr="00941D73">
        <w:rPr>
          <w:rFonts w:ascii="Times New Roman" w:hAnsi="Times New Roman" w:cs="Times New Roman"/>
          <w:sz w:val="28"/>
          <w:szCs w:val="28"/>
        </w:rPr>
        <w:t> </w:t>
      </w:r>
      <w:r w:rsidR="00941D73">
        <w:rPr>
          <w:rFonts w:ascii="Times New Roman" w:hAnsi="Times New Roman" w:cs="Times New Roman"/>
          <w:sz w:val="28"/>
          <w:szCs w:val="28"/>
        </w:rPr>
        <w:t>Эти мероприятия способств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="00941D73">
        <w:rPr>
          <w:rFonts w:ascii="Times New Roman" w:hAnsi="Times New Roman" w:cs="Times New Roman"/>
          <w:sz w:val="28"/>
          <w:szCs w:val="28"/>
        </w:rPr>
        <w:t xml:space="preserve"> </w:t>
      </w:r>
      <w:r w:rsidR="00941D73" w:rsidRPr="00941D73">
        <w:rPr>
          <w:rFonts w:ascii="Times New Roman" w:hAnsi="Times New Roman" w:cs="Times New Roman"/>
          <w:sz w:val="28"/>
          <w:szCs w:val="28"/>
        </w:rPr>
        <w:t>созда</w:t>
      </w:r>
      <w:r w:rsidR="00941D73">
        <w:rPr>
          <w:rFonts w:ascii="Times New Roman" w:hAnsi="Times New Roman" w:cs="Times New Roman"/>
          <w:sz w:val="28"/>
          <w:szCs w:val="28"/>
        </w:rPr>
        <w:t>нию</w:t>
      </w:r>
      <w:r w:rsidR="00941D73" w:rsidRPr="00941D73">
        <w:rPr>
          <w:rFonts w:ascii="Times New Roman" w:hAnsi="Times New Roman" w:cs="Times New Roman"/>
          <w:sz w:val="28"/>
          <w:szCs w:val="28"/>
        </w:rPr>
        <w:t xml:space="preserve"> новы</w:t>
      </w:r>
      <w:r w:rsidR="00941D73">
        <w:rPr>
          <w:rFonts w:ascii="Times New Roman" w:hAnsi="Times New Roman" w:cs="Times New Roman"/>
          <w:sz w:val="28"/>
          <w:szCs w:val="28"/>
        </w:rPr>
        <w:t>х</w:t>
      </w:r>
      <w:r w:rsidR="00941D73" w:rsidRPr="00941D73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41D73">
        <w:rPr>
          <w:rFonts w:ascii="Times New Roman" w:hAnsi="Times New Roman" w:cs="Times New Roman"/>
          <w:sz w:val="28"/>
          <w:szCs w:val="28"/>
        </w:rPr>
        <w:t>х</w:t>
      </w:r>
      <w:r w:rsidR="00941D73" w:rsidRPr="00941D73">
        <w:rPr>
          <w:rFonts w:ascii="Times New Roman" w:hAnsi="Times New Roman" w:cs="Times New Roman"/>
          <w:sz w:val="28"/>
          <w:szCs w:val="28"/>
        </w:rPr>
        <w:t xml:space="preserve"> мест</w:t>
      </w:r>
      <w:r w:rsidR="00941D73">
        <w:rPr>
          <w:rFonts w:ascii="Times New Roman" w:hAnsi="Times New Roman" w:cs="Times New Roman"/>
          <w:sz w:val="28"/>
          <w:szCs w:val="28"/>
        </w:rPr>
        <w:t xml:space="preserve"> на селе, </w:t>
      </w:r>
      <w:r w:rsidR="00941D73" w:rsidRPr="00941D73">
        <w:rPr>
          <w:rFonts w:ascii="Times New Roman" w:hAnsi="Times New Roman" w:cs="Times New Roman"/>
          <w:sz w:val="28"/>
          <w:szCs w:val="28"/>
        </w:rPr>
        <w:t>снижению уровня безработицы, обеспеч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941D73" w:rsidRPr="00941D7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41D73" w:rsidRPr="00941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сельчанам </w:t>
      </w:r>
      <w:r w:rsidR="00941D73" w:rsidRPr="00941D73">
        <w:rPr>
          <w:rFonts w:ascii="Times New Roman" w:hAnsi="Times New Roman" w:cs="Times New Roman"/>
          <w:sz w:val="28"/>
          <w:szCs w:val="28"/>
        </w:rPr>
        <w:t>и</w:t>
      </w:r>
      <w:r w:rsidR="00E77DE5">
        <w:rPr>
          <w:rFonts w:ascii="Times New Roman" w:hAnsi="Times New Roman" w:cs="Times New Roman"/>
          <w:sz w:val="28"/>
          <w:szCs w:val="28"/>
        </w:rPr>
        <w:t xml:space="preserve"> </w:t>
      </w:r>
      <w:r w:rsidR="00941D73" w:rsidRPr="00941D73"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="00941D73" w:rsidRPr="00941D73">
        <w:rPr>
          <w:rFonts w:ascii="Times New Roman" w:hAnsi="Times New Roman" w:cs="Times New Roman"/>
          <w:sz w:val="28"/>
          <w:szCs w:val="28"/>
        </w:rPr>
        <w:t xml:space="preserve"> пов</w:t>
      </w:r>
      <w:r w:rsidR="00941D73">
        <w:rPr>
          <w:rFonts w:ascii="Times New Roman" w:hAnsi="Times New Roman" w:cs="Times New Roman"/>
          <w:sz w:val="28"/>
          <w:szCs w:val="28"/>
        </w:rPr>
        <w:t>ышению социальной стабильности</w:t>
      </w:r>
      <w:r w:rsidR="00941D73" w:rsidRPr="00941D73">
        <w:rPr>
          <w:rFonts w:ascii="Times New Roman" w:hAnsi="Times New Roman" w:cs="Times New Roman"/>
          <w:sz w:val="28"/>
          <w:szCs w:val="28"/>
        </w:rPr>
        <w:t>.</w:t>
      </w:r>
    </w:p>
    <w:p w:rsidR="009F3894" w:rsidRDefault="00941D73" w:rsidP="007A42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D73">
        <w:rPr>
          <w:rFonts w:ascii="Times New Roman" w:hAnsi="Times New Roman" w:cs="Times New Roman"/>
          <w:sz w:val="28"/>
          <w:szCs w:val="28"/>
        </w:rPr>
        <w:t xml:space="preserve">Малый бизнес характеризуется двойственностью своего положения. С одной стороны, малому бизнесу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941D73"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41D73">
        <w:rPr>
          <w:rFonts w:ascii="Times New Roman" w:hAnsi="Times New Roman" w:cs="Times New Roman"/>
          <w:sz w:val="28"/>
          <w:szCs w:val="28"/>
        </w:rPr>
        <w:t>, субсидий. С другой стороны, при появлении даже малейших кризисных явлений именно малый бизнес оказывается первой мишенью.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DE5" w:rsidRPr="00AC0A53">
        <w:rPr>
          <w:rFonts w:ascii="Times New Roman" w:hAnsi="Times New Roman" w:cs="Times New Roman"/>
          <w:sz w:val="28"/>
          <w:szCs w:val="28"/>
        </w:rPr>
        <w:t>На диаграммах наглядно отражены результаты кризиса 2014-2015 года</w:t>
      </w:r>
      <w:r w:rsidR="00DF1FDB" w:rsidRPr="00AC0A53">
        <w:rPr>
          <w:rFonts w:ascii="Times New Roman" w:hAnsi="Times New Roman" w:cs="Times New Roman"/>
          <w:sz w:val="28"/>
          <w:szCs w:val="28"/>
        </w:rPr>
        <w:t>,</w:t>
      </w:r>
      <w:r w:rsidR="00DF1FDB" w:rsidRPr="00AC0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когда после </w:t>
      </w:r>
      <w:r w:rsidR="00DF1FDB" w:rsidRPr="00AC0A53">
        <w:rPr>
          <w:rFonts w:ascii="Times New Roman" w:hAnsi="Times New Roman" w:cs="Times New Roman"/>
          <w:sz w:val="28"/>
          <w:szCs w:val="28"/>
        </w:rPr>
        <w:t>16 декабря 2014 года началось снижение российской национальной валюты. </w:t>
      </w:r>
      <w:r w:rsidR="00DF1FDB" w:rsidRPr="00AC0A53">
        <w:rPr>
          <w:rFonts w:ascii="Times New Roman" w:hAnsi="Times New Roman" w:cs="Times New Roman"/>
          <w:sz w:val="28"/>
          <w:szCs w:val="28"/>
        </w:rPr>
        <w:br/>
      </w:r>
      <w:r w:rsidR="009F3894" w:rsidRPr="009F38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21812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1D73" w:rsidRDefault="004C42A8" w:rsidP="004C4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м</w:t>
      </w:r>
      <w:r w:rsidR="009F3894">
        <w:rPr>
          <w:rFonts w:ascii="Times New Roman" w:hAnsi="Times New Roman" w:cs="Times New Roman"/>
          <w:sz w:val="28"/>
          <w:szCs w:val="28"/>
        </w:rPr>
        <w:t>алы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38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3894">
        <w:rPr>
          <w:rFonts w:ascii="Times New Roman" w:hAnsi="Times New Roman" w:cs="Times New Roman"/>
          <w:sz w:val="28"/>
          <w:szCs w:val="28"/>
        </w:rPr>
        <w:t>микропредприяти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F3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894">
        <w:rPr>
          <w:rFonts w:ascii="Times New Roman" w:hAnsi="Times New Roman" w:cs="Times New Roman"/>
          <w:sz w:val="28"/>
          <w:szCs w:val="28"/>
        </w:rPr>
        <w:t>оптимиз</w:t>
      </w:r>
      <w:r>
        <w:rPr>
          <w:rFonts w:ascii="Times New Roman" w:hAnsi="Times New Roman" w:cs="Times New Roman"/>
          <w:sz w:val="28"/>
          <w:szCs w:val="28"/>
        </w:rPr>
        <w:t xml:space="preserve">ировали </w:t>
      </w:r>
      <w:r w:rsidR="009F3894">
        <w:rPr>
          <w:rFonts w:ascii="Times New Roman" w:hAnsi="Times New Roman" w:cs="Times New Roman"/>
          <w:sz w:val="28"/>
          <w:szCs w:val="28"/>
        </w:rPr>
        <w:t>численност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3894">
        <w:rPr>
          <w:rFonts w:ascii="Times New Roman" w:hAnsi="Times New Roman" w:cs="Times New Roman"/>
          <w:sz w:val="28"/>
          <w:szCs w:val="28"/>
        </w:rPr>
        <w:t xml:space="preserve"> занятых </w:t>
      </w:r>
      <w:r>
        <w:rPr>
          <w:rFonts w:ascii="Times New Roman" w:hAnsi="Times New Roman" w:cs="Times New Roman"/>
          <w:sz w:val="28"/>
          <w:szCs w:val="28"/>
        </w:rPr>
        <w:t>уменьшив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14% </w:t>
      </w:r>
      <w:r w:rsidR="00BC278F">
        <w:rPr>
          <w:rFonts w:ascii="Times New Roman" w:hAnsi="Times New Roman" w:cs="Times New Roman"/>
          <w:sz w:val="28"/>
          <w:szCs w:val="28"/>
        </w:rPr>
        <w:t>к уровню 2013 года (</w:t>
      </w:r>
      <w:r w:rsidR="008E1D74">
        <w:rPr>
          <w:rFonts w:ascii="Times New Roman" w:hAnsi="Times New Roman" w:cs="Times New Roman"/>
          <w:sz w:val="28"/>
          <w:szCs w:val="28"/>
        </w:rPr>
        <w:t>в 1 квартале 2017 заработная плата составила</w:t>
      </w:r>
      <w:r w:rsidR="00BC278F">
        <w:rPr>
          <w:rFonts w:ascii="Times New Roman" w:hAnsi="Times New Roman" w:cs="Times New Roman"/>
          <w:sz w:val="28"/>
          <w:szCs w:val="28"/>
        </w:rPr>
        <w:t xml:space="preserve"> 21439,4 рублей).  Достигнуто 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="00BC278F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BC278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 </w:t>
      </w:r>
      <w:r w:rsidR="00BC278F">
        <w:rPr>
          <w:rFonts w:ascii="Times New Roman" w:hAnsi="Times New Roman" w:cs="Times New Roman"/>
          <w:sz w:val="28"/>
          <w:szCs w:val="28"/>
        </w:rPr>
        <w:t xml:space="preserve">в сопоставимых ценах на 152 % </w:t>
      </w:r>
      <w:r w:rsidR="00AC0A53">
        <w:rPr>
          <w:rFonts w:ascii="Times New Roman" w:hAnsi="Times New Roman" w:cs="Times New Roman"/>
          <w:sz w:val="28"/>
          <w:szCs w:val="28"/>
        </w:rPr>
        <w:t xml:space="preserve"> к 2013 году</w:t>
      </w:r>
      <w:r w:rsidR="00BC278F">
        <w:rPr>
          <w:rFonts w:ascii="Times New Roman" w:hAnsi="Times New Roman" w:cs="Times New Roman"/>
          <w:sz w:val="28"/>
          <w:szCs w:val="28"/>
        </w:rPr>
        <w:t>.</w:t>
      </w:r>
      <w:r w:rsidR="002F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94" w:rsidRPr="00941D73" w:rsidRDefault="009F3894" w:rsidP="00E77DE5">
      <w:pPr>
        <w:jc w:val="both"/>
        <w:rPr>
          <w:rFonts w:ascii="Times New Roman" w:hAnsi="Times New Roman" w:cs="Times New Roman"/>
          <w:sz w:val="28"/>
          <w:szCs w:val="28"/>
        </w:rPr>
      </w:pPr>
      <w:r w:rsidRPr="009F38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22669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4E05" w:rsidRDefault="00001C19" w:rsidP="00E77DE5">
      <w:pPr>
        <w:jc w:val="both"/>
        <w:rPr>
          <w:rFonts w:ascii="Times New Roman" w:hAnsi="Times New Roman" w:cs="Times New Roman"/>
          <w:sz w:val="28"/>
          <w:szCs w:val="28"/>
        </w:rPr>
      </w:pPr>
      <w:r w:rsidRPr="00001C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05500" cy="23526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588A" w:rsidRDefault="0021588A" w:rsidP="00BC2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года в год с</w:t>
      </w:r>
      <w:r w:rsidR="00F04A0D">
        <w:rPr>
          <w:rFonts w:ascii="Times New Roman" w:hAnsi="Times New Roman" w:cs="Times New Roman"/>
          <w:sz w:val="28"/>
          <w:szCs w:val="28"/>
        </w:rPr>
        <w:t xml:space="preserve">табильно работают </w:t>
      </w:r>
      <w:r w:rsidR="00BC278F">
        <w:rPr>
          <w:rFonts w:ascii="Times New Roman" w:hAnsi="Times New Roman" w:cs="Times New Roman"/>
          <w:sz w:val="28"/>
          <w:szCs w:val="28"/>
        </w:rPr>
        <w:t xml:space="preserve"> и </w:t>
      </w:r>
      <w:r w:rsidR="00BC278F" w:rsidRPr="00BC278F">
        <w:rPr>
          <w:rFonts w:ascii="Times New Roman" w:hAnsi="Times New Roman" w:cs="Times New Roman"/>
          <w:sz w:val="28"/>
          <w:szCs w:val="28"/>
        </w:rPr>
        <w:t xml:space="preserve">имеют достаточно сильные позиции  </w:t>
      </w:r>
      <w:r>
        <w:rPr>
          <w:rFonts w:ascii="Times New Roman" w:hAnsi="Times New Roman" w:cs="Times New Roman"/>
          <w:sz w:val="28"/>
          <w:szCs w:val="28"/>
        </w:rPr>
        <w:t xml:space="preserve">средние предприятия, такие как: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2"/>
      </w:tblGrid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ТД "</w:t>
            </w:r>
            <w:proofErr w:type="spellStart"/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Кориб</w:t>
            </w:r>
            <w:proofErr w:type="spellEnd"/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Транссервис-ЛТД</w:t>
            </w:r>
            <w:proofErr w:type="spellEnd"/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"ТМИМ"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Челны-мясо</w:t>
            </w:r>
            <w:proofErr w:type="spellEnd"/>
            <w:proofErr w:type="gramEnd"/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"Авто-1"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"РАРИТЭК-ТЕХНОЛОГИИ"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Делко</w:t>
            </w:r>
            <w:proofErr w:type="spellEnd"/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"КАМАВТОКОМПЛЕКТ"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"ФЕНИКС"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"Металлист Плюс"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"АГРОФИРМА ТУКАЕВСКАЯ ПРОДОВОЛЬСТВЕННАЯ КОРПОРАЦИЯ"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"Гигант"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"СХП ИМЕНИ САЙДАШЕВА"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"ЧЕЛНЫ-ОВОЩИ+"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АО "НАБЕРЕЖНОЧЕЛНИНСКИЙ КРАНОВЫЙ ЗАВОД"</w:t>
            </w:r>
          </w:p>
        </w:tc>
      </w:tr>
      <w:tr w:rsidR="0021588A" w:rsidRPr="0021588A" w:rsidTr="0021588A">
        <w:trPr>
          <w:trHeight w:val="300"/>
        </w:trPr>
        <w:tc>
          <w:tcPr>
            <w:tcW w:w="6712" w:type="dxa"/>
            <w:noWrap/>
            <w:hideMark/>
          </w:tcPr>
          <w:p w:rsidR="0021588A" w:rsidRPr="0021588A" w:rsidRDefault="0021588A" w:rsidP="00215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88A">
              <w:rPr>
                <w:rFonts w:ascii="Times New Roman" w:hAnsi="Times New Roman" w:cs="Times New Roman"/>
                <w:sz w:val="28"/>
                <w:szCs w:val="28"/>
              </w:rPr>
              <w:t>ООО "РМЗ РАРИТЭК"</w:t>
            </w:r>
          </w:p>
        </w:tc>
      </w:tr>
    </w:tbl>
    <w:p w:rsidR="00784E05" w:rsidRDefault="00F04A0D" w:rsidP="00E77DE5">
      <w:pPr>
        <w:jc w:val="both"/>
        <w:rPr>
          <w:rFonts w:ascii="Times New Roman" w:hAnsi="Times New Roman" w:cs="Times New Roman"/>
          <w:sz w:val="28"/>
          <w:szCs w:val="28"/>
        </w:rPr>
      </w:pPr>
      <w:r w:rsidRPr="00F04A0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05500" cy="27432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4348" w:rsidRDefault="00274348" w:rsidP="00BC2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 отгруженных товаров и оказанных услуг этими предприятиями составила 13% в общем объеме отгруженных товаров и оказанных услуг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  </w:t>
      </w:r>
      <w:r w:rsidR="0021588A">
        <w:rPr>
          <w:rFonts w:ascii="Times New Roman" w:hAnsi="Times New Roman" w:cs="Times New Roman"/>
          <w:sz w:val="28"/>
          <w:szCs w:val="28"/>
        </w:rPr>
        <w:t xml:space="preserve">На средних предприятиях уровень заработной платы работников превышает </w:t>
      </w:r>
      <w:proofErr w:type="spellStart"/>
      <w:r w:rsidR="0021588A">
        <w:rPr>
          <w:rFonts w:ascii="Times New Roman" w:hAnsi="Times New Roman" w:cs="Times New Roman"/>
          <w:sz w:val="28"/>
          <w:szCs w:val="28"/>
        </w:rPr>
        <w:t>среднерайонный</w:t>
      </w:r>
      <w:proofErr w:type="spellEnd"/>
      <w:r w:rsidR="0021588A">
        <w:rPr>
          <w:rFonts w:ascii="Times New Roman" w:hAnsi="Times New Roman" w:cs="Times New Roman"/>
          <w:sz w:val="28"/>
          <w:szCs w:val="28"/>
        </w:rPr>
        <w:t xml:space="preserve"> показатель  и состав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="0021588A">
        <w:rPr>
          <w:rFonts w:ascii="Times New Roman" w:hAnsi="Times New Roman" w:cs="Times New Roman"/>
          <w:sz w:val="28"/>
          <w:szCs w:val="28"/>
        </w:rPr>
        <w:t xml:space="preserve"> </w:t>
      </w:r>
      <w:r w:rsidR="00BC278F">
        <w:rPr>
          <w:rFonts w:ascii="Times New Roman" w:hAnsi="Times New Roman" w:cs="Times New Roman"/>
          <w:sz w:val="28"/>
          <w:szCs w:val="28"/>
        </w:rPr>
        <w:t xml:space="preserve">в 1 квартале 2017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88A">
        <w:rPr>
          <w:rFonts w:ascii="Times New Roman" w:hAnsi="Times New Roman" w:cs="Times New Roman"/>
          <w:sz w:val="28"/>
          <w:szCs w:val="28"/>
        </w:rPr>
        <w:t xml:space="preserve">35302 рубля в месяц (по району в среднем </w:t>
      </w:r>
      <w:r w:rsidR="00BC278F">
        <w:rPr>
          <w:rFonts w:ascii="Times New Roman" w:hAnsi="Times New Roman" w:cs="Times New Roman"/>
          <w:sz w:val="28"/>
          <w:szCs w:val="28"/>
        </w:rPr>
        <w:t>31987,6 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348" w:rsidRDefault="00274348" w:rsidP="00BC2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характеризует стабильные показатели деятельности малого бизнеса в муниципальном районе.</w:t>
      </w:r>
    </w:p>
    <w:p w:rsidR="00BC278F" w:rsidRDefault="00BC278F" w:rsidP="00E77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E05" w:rsidRDefault="0021588A" w:rsidP="00E77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05" w:rsidRDefault="00784E05" w:rsidP="00E77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E05" w:rsidRPr="00784E05" w:rsidRDefault="00784E05" w:rsidP="00E77D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4E05" w:rsidRPr="00784E05" w:rsidSect="0089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4E05"/>
    <w:rsid w:val="00001C19"/>
    <w:rsid w:val="00207D94"/>
    <w:rsid w:val="0021588A"/>
    <w:rsid w:val="00274348"/>
    <w:rsid w:val="002D56A9"/>
    <w:rsid w:val="002F4F03"/>
    <w:rsid w:val="00313151"/>
    <w:rsid w:val="004C42A8"/>
    <w:rsid w:val="00732A1E"/>
    <w:rsid w:val="00784E05"/>
    <w:rsid w:val="007A4241"/>
    <w:rsid w:val="0089336F"/>
    <w:rsid w:val="008A35BE"/>
    <w:rsid w:val="008E1D74"/>
    <w:rsid w:val="00941D73"/>
    <w:rsid w:val="00951132"/>
    <w:rsid w:val="00987774"/>
    <w:rsid w:val="009F3894"/>
    <w:rsid w:val="00AC0A53"/>
    <w:rsid w:val="00BC278F"/>
    <w:rsid w:val="00DF1FDB"/>
    <w:rsid w:val="00E63D86"/>
    <w:rsid w:val="00E77DE5"/>
    <w:rsid w:val="00F04A0D"/>
    <w:rsid w:val="00F4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E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68.31.235\Public\230%20&#1064;&#1072;&#1081;&#1093;&#1091;&#1083;&#1083;&#1080;&#1085;&#1072;%20&#1043;.&#1056;\&#1057;&#1069;&#1056;\&#1052;&#1072;&#1083;&#1086;&#1077;%20&#1087;&#1088;&#1077;&#1076;&#1087;&#1088;&#1080;&#1085;&#1080;&#1084;&#1072;&#1090;&#1077;&#1083;&#1100;&#1089;&#1090;&#1074;&#1086;\1%20&#1082;&#1074;%202017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68.31.235\Public\230%20&#1064;&#1072;&#1081;&#1093;&#1091;&#1083;&#1083;&#1080;&#1085;&#1072;%20&#1043;.&#1056;\&#1057;&#1069;&#1056;\&#1052;&#1072;&#1083;&#1086;&#1077;%20&#1087;&#1088;&#1077;&#1076;&#1087;&#1088;&#1080;&#1085;&#1080;&#1084;&#1072;&#1090;&#1077;&#1083;&#1100;&#1089;&#1090;&#1074;&#1086;\1%20&#1082;&#1074;%202017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r>
              <a:rPr lang="ru-RU" b="1">
                <a:latin typeface="Times New Roman" pitchFamily="18" charset="0"/>
                <a:cs typeface="Times New Roman" pitchFamily="18" charset="0"/>
              </a:rPr>
              <a:t>Количество индивидуальных предпринимателей, единиц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Количество индивидуальных предпринимателей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Лист2!$B$1:$F$1</c:f>
              <c:strCache>
                <c:ptCount val="5"/>
                <c:pt idx="0">
                  <c:v>1 квартал 2013</c:v>
                </c:pt>
                <c:pt idx="1">
                  <c:v>1 квартал 2014</c:v>
                </c:pt>
                <c:pt idx="2">
                  <c:v>1 квартал 2015</c:v>
                </c:pt>
                <c:pt idx="3">
                  <c:v>1 квартал 2016</c:v>
                </c:pt>
                <c:pt idx="4">
                  <c:v>1 квартал 2017</c:v>
                </c:pt>
              </c:strCache>
            </c:strRef>
          </c:cat>
          <c:val>
            <c:numRef>
              <c:f>Лист2!$B$2:$F$2</c:f>
              <c:numCache>
                <c:formatCode>General</c:formatCode>
                <c:ptCount val="5"/>
                <c:pt idx="0">
                  <c:v>1231</c:v>
                </c:pt>
                <c:pt idx="1">
                  <c:v>1149</c:v>
                </c:pt>
                <c:pt idx="2">
                  <c:v>1236</c:v>
                </c:pt>
                <c:pt idx="3">
                  <c:v>1321</c:v>
                </c:pt>
                <c:pt idx="4">
                  <c:v>1400</c:v>
                </c:pt>
              </c:numCache>
            </c:numRef>
          </c:val>
        </c:ser>
        <c:shape val="box"/>
        <c:axId val="59829248"/>
        <c:axId val="59847424"/>
        <c:axId val="0"/>
      </c:bar3DChart>
      <c:catAx>
        <c:axId val="5982924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847424"/>
        <c:crosses val="autoZero"/>
        <c:auto val="1"/>
        <c:lblAlgn val="ctr"/>
        <c:lblOffset val="100"/>
      </c:catAx>
      <c:valAx>
        <c:axId val="59847424"/>
        <c:scaling>
          <c:orientation val="minMax"/>
        </c:scaling>
        <c:delete val="1"/>
        <c:axPos val="l"/>
        <c:numFmt formatCode="General" sourceLinked="1"/>
        <c:tickLblPos val="none"/>
        <c:crossAx val="5982924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col"/>
        <c:grouping val="stacked"/>
        <c:ser>
          <c:idx val="0"/>
          <c:order val="0"/>
          <c:tx>
            <c:strRef>
              <c:f>Лист2!$A$33</c:f>
              <c:strCache>
                <c:ptCount val="1"/>
                <c:pt idx="0">
                  <c:v>Количество экономически активных малых и микропредприятий, единиц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80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Лист2!$B$32:$F$32</c:f>
              <c:strCache>
                <c:ptCount val="5"/>
                <c:pt idx="0">
                  <c:v>1 квартал 2013</c:v>
                </c:pt>
                <c:pt idx="1">
                  <c:v>1 квартал 2014</c:v>
                </c:pt>
                <c:pt idx="2">
                  <c:v>1 квартал 2015</c:v>
                </c:pt>
                <c:pt idx="3">
                  <c:v>1 квартал 2016</c:v>
                </c:pt>
                <c:pt idx="4">
                  <c:v>1 квартал 2017</c:v>
                </c:pt>
              </c:strCache>
            </c:strRef>
          </c:cat>
          <c:val>
            <c:numRef>
              <c:f>Лист2!$B$33:$F$33</c:f>
              <c:numCache>
                <c:formatCode>General</c:formatCode>
                <c:ptCount val="5"/>
                <c:pt idx="0">
                  <c:v>883</c:v>
                </c:pt>
                <c:pt idx="1">
                  <c:v>960</c:v>
                </c:pt>
                <c:pt idx="2">
                  <c:v>647</c:v>
                </c:pt>
                <c:pt idx="3">
                  <c:v>703</c:v>
                </c:pt>
                <c:pt idx="4">
                  <c:v>1006</c:v>
                </c:pt>
              </c:numCache>
            </c:numRef>
          </c:val>
        </c:ser>
        <c:overlap val="100"/>
        <c:axId val="60113664"/>
        <c:axId val="60115200"/>
      </c:barChart>
      <c:catAx>
        <c:axId val="6011366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115200"/>
        <c:crosses val="autoZero"/>
        <c:auto val="1"/>
        <c:lblAlgn val="ctr"/>
        <c:lblOffset val="100"/>
      </c:catAx>
      <c:valAx>
        <c:axId val="60115200"/>
        <c:scaling>
          <c:orientation val="minMax"/>
        </c:scaling>
        <c:delete val="1"/>
        <c:axPos val="l"/>
        <c:numFmt formatCode="General" sourceLinked="1"/>
        <c:tickLblPos val="none"/>
        <c:crossAx val="60113664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Лист2!$A$48</c:f>
              <c:strCache>
                <c:ptCount val="1"/>
                <c:pt idx="0">
                  <c:v>Среднесписочная численность работников малых и микропредприятий, человек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Лист2!$B$47:$F$47</c:f>
              <c:strCache>
                <c:ptCount val="5"/>
                <c:pt idx="0">
                  <c:v>1 квартал 2013</c:v>
                </c:pt>
                <c:pt idx="1">
                  <c:v>1 квартал 2014</c:v>
                </c:pt>
                <c:pt idx="2">
                  <c:v>1 квартал 2015</c:v>
                </c:pt>
                <c:pt idx="3">
                  <c:v>1 квартал 2016</c:v>
                </c:pt>
                <c:pt idx="4">
                  <c:v>1 квартал 2017</c:v>
                </c:pt>
              </c:strCache>
            </c:strRef>
          </c:cat>
          <c:val>
            <c:numRef>
              <c:f>Лист2!$B$48:$F$48</c:f>
              <c:numCache>
                <c:formatCode>General</c:formatCode>
                <c:ptCount val="5"/>
                <c:pt idx="0">
                  <c:v>8068</c:v>
                </c:pt>
                <c:pt idx="1">
                  <c:v>8004</c:v>
                </c:pt>
                <c:pt idx="2">
                  <c:v>6246</c:v>
                </c:pt>
                <c:pt idx="3">
                  <c:v>7044</c:v>
                </c:pt>
                <c:pt idx="4">
                  <c:v>6946</c:v>
                </c:pt>
              </c:numCache>
            </c:numRef>
          </c:val>
        </c:ser>
        <c:axId val="60131200"/>
        <c:axId val="60132736"/>
      </c:barChart>
      <c:catAx>
        <c:axId val="6013120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132736"/>
        <c:crosses val="autoZero"/>
        <c:auto val="1"/>
        <c:lblAlgn val="ctr"/>
        <c:lblOffset val="100"/>
      </c:catAx>
      <c:valAx>
        <c:axId val="60132736"/>
        <c:scaling>
          <c:orientation val="minMax"/>
        </c:scaling>
        <c:delete val="1"/>
        <c:axPos val="l"/>
        <c:numFmt formatCode="General" sourceLinked="1"/>
        <c:tickLblPos val="none"/>
        <c:crossAx val="6013120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Оборот малых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предприятий,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млн. рублей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Лист2!$A$63</c:f>
              <c:strCache>
                <c:ptCount val="1"/>
                <c:pt idx="0">
                  <c:v>оборот предприятий, млн.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Лист2!$B$62:$F$62</c:f>
              <c:strCache>
                <c:ptCount val="5"/>
                <c:pt idx="0">
                  <c:v>1 квартал 2013</c:v>
                </c:pt>
                <c:pt idx="1">
                  <c:v>1 квартал 2014</c:v>
                </c:pt>
                <c:pt idx="2">
                  <c:v>1 квартал 2015</c:v>
                </c:pt>
                <c:pt idx="3">
                  <c:v>1 квартал 2016</c:v>
                </c:pt>
                <c:pt idx="4">
                  <c:v>1 квартал 2017</c:v>
                </c:pt>
              </c:strCache>
            </c:strRef>
          </c:cat>
          <c:val>
            <c:numRef>
              <c:f>Лист2!$B$63:$F$63</c:f>
              <c:numCache>
                <c:formatCode>General</c:formatCode>
                <c:ptCount val="5"/>
                <c:pt idx="0">
                  <c:v>3362.8</c:v>
                </c:pt>
                <c:pt idx="1">
                  <c:v>4131.7</c:v>
                </c:pt>
                <c:pt idx="2">
                  <c:v>3459.5</c:v>
                </c:pt>
                <c:pt idx="3">
                  <c:v>3980.2</c:v>
                </c:pt>
                <c:pt idx="4">
                  <c:v>6166.7</c:v>
                </c:pt>
              </c:numCache>
            </c:numRef>
          </c:val>
        </c:ser>
        <c:axId val="59481472"/>
        <c:axId val="58975360"/>
      </c:barChart>
      <c:catAx>
        <c:axId val="59481472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975360"/>
        <c:crosses val="autoZero"/>
        <c:auto val="1"/>
        <c:lblAlgn val="ctr"/>
        <c:lblOffset val="100"/>
      </c:catAx>
      <c:valAx>
        <c:axId val="58975360"/>
        <c:scaling>
          <c:orientation val="minMax"/>
        </c:scaling>
        <c:delete val="1"/>
        <c:axPos val="l"/>
        <c:numFmt formatCode="General" sourceLinked="1"/>
        <c:tickLblPos val="none"/>
        <c:crossAx val="5948147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Оборот средних предприятий, </a:t>
            </a:r>
          </a:p>
          <a:p>
            <a:pPr>
              <a:defRPr/>
            </a:pPr>
            <a:r>
              <a:rPr lang="ru-RU"/>
              <a:t>млн. рублей</a:t>
            </a:r>
          </a:p>
        </c:rich>
      </c:tx>
      <c:layout/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Лист2!$A$81</c:f>
              <c:strCache>
                <c:ptCount val="1"/>
                <c:pt idx="0">
                  <c:v>Оборот, млн. рублей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Лист2!$B$80:$F$80</c:f>
              <c:strCache>
                <c:ptCount val="5"/>
                <c:pt idx="0">
                  <c:v>1 квартал 2013</c:v>
                </c:pt>
                <c:pt idx="1">
                  <c:v>1 квартал 2014</c:v>
                </c:pt>
                <c:pt idx="2">
                  <c:v>1 квартал 2015</c:v>
                </c:pt>
                <c:pt idx="3">
                  <c:v>1 квартал 2016</c:v>
                </c:pt>
                <c:pt idx="4">
                  <c:v>1 квартал 2017</c:v>
                </c:pt>
              </c:strCache>
            </c:strRef>
          </c:cat>
          <c:val>
            <c:numRef>
              <c:f>Лист2!$B$81:$F$81</c:f>
              <c:numCache>
                <c:formatCode>General</c:formatCode>
                <c:ptCount val="5"/>
                <c:pt idx="0">
                  <c:v>1748.6</c:v>
                </c:pt>
                <c:pt idx="1">
                  <c:v>1707.4</c:v>
                </c:pt>
                <c:pt idx="2">
                  <c:v>1400.5</c:v>
                </c:pt>
                <c:pt idx="3">
                  <c:v>1683.4</c:v>
                </c:pt>
                <c:pt idx="4">
                  <c:v>2025.9</c:v>
                </c:pt>
              </c:numCache>
            </c:numRef>
          </c:val>
        </c:ser>
        <c:overlap val="100"/>
        <c:axId val="110822528"/>
        <c:axId val="110824448"/>
      </c:barChart>
      <c:catAx>
        <c:axId val="110822528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824448"/>
        <c:crosses val="autoZero"/>
        <c:auto val="1"/>
        <c:lblAlgn val="ctr"/>
        <c:lblOffset val="100"/>
      </c:catAx>
      <c:valAx>
        <c:axId val="110824448"/>
        <c:scaling>
          <c:orientation val="minMax"/>
        </c:scaling>
        <c:delete val="1"/>
        <c:axPos val="l"/>
        <c:numFmt formatCode="0%" sourceLinked="1"/>
        <c:tickLblPos val="none"/>
        <c:crossAx val="1108225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EB6A4-C387-4271-A4F1-25A84A77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Татарстанстат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tykai</dc:creator>
  <cp:keywords/>
  <dc:description/>
  <cp:lastModifiedBy>tykai</cp:lastModifiedBy>
  <cp:revision>5</cp:revision>
  <dcterms:created xsi:type="dcterms:W3CDTF">2017-06-27T07:50:00Z</dcterms:created>
  <dcterms:modified xsi:type="dcterms:W3CDTF">2017-06-27T07:54:00Z</dcterms:modified>
</cp:coreProperties>
</file>